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52"/>
          <w:szCs w:val="52"/>
        </w:rPr>
      </w:pPr>
      <w:r>
        <w:rPr>
          <w:rFonts w:hint="eastAsia" w:ascii="宋体" w:hAnsi="宋体" w:cs="宋体"/>
          <w:b/>
          <w:bCs/>
          <w:sz w:val="52"/>
          <w:szCs w:val="52"/>
        </w:rPr>
        <w:t>全国卫生产业企业管理协会</w:t>
      </w:r>
    </w:p>
    <w:p>
      <w:pPr>
        <w:jc w:val="center"/>
        <w:rPr>
          <w:rFonts w:ascii="宋体" w:hAnsi="宋体" w:cs="宋体"/>
          <w:b/>
          <w:bCs/>
          <w:sz w:val="52"/>
          <w:szCs w:val="52"/>
        </w:rPr>
      </w:pPr>
      <w:r>
        <w:rPr>
          <w:rFonts w:hint="eastAsia" w:ascii="宋体" w:hAnsi="宋体" w:cs="宋体"/>
          <w:b/>
          <w:bCs/>
          <w:sz w:val="52"/>
          <w:szCs w:val="52"/>
        </w:rPr>
        <w:t>美容产业分会</w:t>
      </w:r>
    </w:p>
    <w:p>
      <w:pPr>
        <w:jc w:val="center"/>
        <w:rPr>
          <w:rFonts w:ascii="黑体" w:hAnsi="黑体" w:eastAsia="黑体" w:cs="黑体"/>
          <w:sz w:val="36"/>
          <w:szCs w:val="36"/>
        </w:rPr>
      </w:pPr>
      <w:r>
        <w:rPr>
          <w:rFonts w:hint="eastAsia" w:ascii="黑体" w:hAnsi="黑体" w:eastAsia="黑体" w:cs="黑体"/>
          <w:sz w:val="36"/>
          <w:szCs w:val="36"/>
        </w:rPr>
        <w:t>（会员单位）</w:t>
      </w:r>
    </w:p>
    <w:p>
      <w:pPr>
        <w:jc w:val="center"/>
        <w:rPr>
          <w:rFonts w:ascii="黑体" w:hAnsi="黑体" w:eastAsia="黑体"/>
          <w:sz w:val="36"/>
          <w:szCs w:val="36"/>
        </w:rPr>
      </w:pPr>
    </w:p>
    <w:p>
      <w:pPr>
        <w:jc w:val="center"/>
        <w:rPr>
          <w:rFonts w:ascii="黑体" w:hAnsi="黑体" w:eastAsia="黑体"/>
          <w:sz w:val="72"/>
          <w:szCs w:val="72"/>
        </w:rPr>
      </w:pPr>
    </w:p>
    <w:p>
      <w:pPr>
        <w:jc w:val="center"/>
        <w:rPr>
          <w:rFonts w:ascii="黑体" w:hAnsi="黑体" w:eastAsia="黑体"/>
          <w:sz w:val="56"/>
          <w:szCs w:val="56"/>
        </w:rPr>
      </w:pPr>
      <w:r>
        <w:rPr>
          <w:rFonts w:hint="eastAsia" w:ascii="黑体" w:hAnsi="黑体" w:eastAsia="黑体"/>
          <w:sz w:val="56"/>
          <w:szCs w:val="56"/>
        </w:rPr>
        <w:t>入</w:t>
      </w:r>
    </w:p>
    <w:p>
      <w:pPr>
        <w:jc w:val="center"/>
        <w:rPr>
          <w:rFonts w:ascii="黑体" w:hAnsi="黑体" w:eastAsia="黑体"/>
          <w:sz w:val="56"/>
          <w:szCs w:val="56"/>
        </w:rPr>
      </w:pPr>
    </w:p>
    <w:p>
      <w:pPr>
        <w:jc w:val="center"/>
        <w:rPr>
          <w:rFonts w:ascii="黑体" w:hAnsi="黑体" w:eastAsia="黑体"/>
          <w:sz w:val="56"/>
          <w:szCs w:val="56"/>
        </w:rPr>
      </w:pPr>
      <w:r>
        <w:rPr>
          <w:rFonts w:hint="eastAsia" w:ascii="黑体" w:hAnsi="黑体" w:eastAsia="黑体"/>
          <w:sz w:val="56"/>
          <w:szCs w:val="56"/>
        </w:rPr>
        <w:t>会</w:t>
      </w:r>
    </w:p>
    <w:p>
      <w:pPr>
        <w:jc w:val="center"/>
        <w:rPr>
          <w:rFonts w:ascii="黑体" w:hAnsi="黑体" w:eastAsia="黑体"/>
          <w:sz w:val="56"/>
          <w:szCs w:val="56"/>
        </w:rPr>
      </w:pPr>
    </w:p>
    <w:p>
      <w:pPr>
        <w:jc w:val="center"/>
        <w:rPr>
          <w:rFonts w:ascii="黑体" w:hAnsi="黑体" w:eastAsia="黑体"/>
          <w:sz w:val="56"/>
          <w:szCs w:val="56"/>
        </w:rPr>
      </w:pPr>
      <w:r>
        <w:rPr>
          <w:rFonts w:hint="eastAsia" w:ascii="黑体" w:hAnsi="黑体" w:eastAsia="黑体"/>
          <w:sz w:val="56"/>
          <w:szCs w:val="56"/>
        </w:rPr>
        <w:t>指</w:t>
      </w:r>
    </w:p>
    <w:p>
      <w:pPr>
        <w:jc w:val="center"/>
        <w:rPr>
          <w:rFonts w:ascii="黑体" w:hAnsi="黑体" w:eastAsia="黑体"/>
          <w:sz w:val="56"/>
          <w:szCs w:val="56"/>
        </w:rPr>
      </w:pPr>
    </w:p>
    <w:p>
      <w:pPr>
        <w:jc w:val="center"/>
        <w:rPr>
          <w:rFonts w:ascii="黑体" w:hAnsi="黑体" w:eastAsia="黑体"/>
          <w:sz w:val="56"/>
          <w:szCs w:val="56"/>
        </w:rPr>
      </w:pPr>
      <w:r>
        <w:rPr>
          <w:rFonts w:hint="eastAsia" w:ascii="黑体" w:hAnsi="黑体" w:eastAsia="黑体"/>
          <w:sz w:val="56"/>
          <w:szCs w:val="56"/>
        </w:rPr>
        <w:t>南</w:t>
      </w:r>
    </w:p>
    <w:p>
      <w:pPr>
        <w:rPr>
          <w:rFonts w:ascii="黑体" w:hAnsi="黑体" w:eastAsia="黑体"/>
          <w:sz w:val="36"/>
          <w:szCs w:val="36"/>
        </w:rPr>
      </w:pPr>
    </w:p>
    <w:p>
      <w:pPr>
        <w:rPr>
          <w:rFonts w:cs="微软雅黑" w:asciiTheme="minorEastAsia" w:hAnsiTheme="minorEastAsia" w:eastAsiaTheme="minorEastAsia"/>
          <w:bCs/>
          <w:sz w:val="32"/>
          <w:szCs w:val="44"/>
        </w:rPr>
      </w:pPr>
    </w:p>
    <w:p>
      <w:pPr>
        <w:rPr>
          <w:rFonts w:cs="微软雅黑" w:asciiTheme="minorEastAsia" w:hAnsiTheme="minorEastAsia" w:eastAsiaTheme="minorEastAsia"/>
          <w:bCs/>
          <w:sz w:val="32"/>
          <w:szCs w:val="44"/>
        </w:rPr>
      </w:pPr>
    </w:p>
    <w:p>
      <w:pPr>
        <w:pStyle w:val="6"/>
        <w:widowControl/>
        <w:shd w:val="clear" w:color="auto" w:fill="FFFFFF"/>
        <w:spacing w:before="150" w:beforeAutospacing="0" w:after="0" w:afterAutospacing="0" w:line="450" w:lineRule="atLeast"/>
        <w:rPr>
          <w:rFonts w:ascii="微软雅黑" w:hAnsi="微软雅黑" w:eastAsia="微软雅黑" w:cs="微软雅黑"/>
          <w:color w:val="333333"/>
          <w:sz w:val="21"/>
          <w:szCs w:val="21"/>
          <w:shd w:val="clear" w:color="auto" w:fill="FFFFFF"/>
        </w:rPr>
      </w:pPr>
    </w:p>
    <w:p>
      <w:pPr>
        <w:pStyle w:val="6"/>
        <w:widowControl/>
        <w:shd w:val="clear" w:color="auto" w:fill="FFFFFF"/>
        <w:spacing w:before="150" w:beforeAutospacing="0" w:after="0" w:afterAutospacing="0" w:line="450" w:lineRule="atLeast"/>
        <w:rPr>
          <w:rFonts w:ascii="微软雅黑" w:hAnsi="微软雅黑" w:eastAsia="微软雅黑" w:cs="微软雅黑"/>
          <w:color w:val="333333"/>
          <w:sz w:val="21"/>
          <w:szCs w:val="21"/>
          <w:shd w:val="clear" w:color="auto" w:fill="FFFFFF"/>
        </w:rPr>
      </w:pPr>
    </w:p>
    <w:p>
      <w:pPr>
        <w:jc w:val="center"/>
        <w:rPr>
          <w:rFonts w:ascii="宋体" w:hAnsi="宋体" w:cs="宋体"/>
          <w:b/>
          <w:bCs/>
          <w:sz w:val="44"/>
          <w:szCs w:val="44"/>
        </w:rPr>
      </w:pPr>
      <w:r>
        <w:rPr>
          <w:rFonts w:hint="eastAsia" w:ascii="宋体" w:hAnsi="宋体" w:cs="宋体"/>
          <w:b/>
          <w:bCs/>
          <w:sz w:val="44"/>
          <w:szCs w:val="44"/>
        </w:rPr>
        <w:t>全国卫生产业企业管理协会</w:t>
      </w:r>
    </w:p>
    <w:p>
      <w:pPr>
        <w:jc w:val="center"/>
        <w:rPr>
          <w:rFonts w:ascii="宋体" w:hAnsi="宋体" w:cs="宋体"/>
          <w:b/>
          <w:bCs/>
          <w:sz w:val="44"/>
          <w:szCs w:val="44"/>
        </w:rPr>
      </w:pPr>
      <w:r>
        <w:rPr>
          <w:rFonts w:hint="eastAsia" w:ascii="宋体" w:hAnsi="宋体" w:cs="宋体"/>
          <w:b/>
          <w:bCs/>
          <w:sz w:val="44"/>
          <w:szCs w:val="44"/>
        </w:rPr>
        <w:t>美容产业分会</w:t>
      </w:r>
    </w:p>
    <w:p/>
    <w:p>
      <w:pPr>
        <w:rPr>
          <w:rFonts w:asciiTheme="minorEastAsia" w:hAnsiTheme="minorEastAsia" w:eastAsiaTheme="minorEastAsia"/>
        </w:rPr>
      </w:pPr>
    </w:p>
    <w:p>
      <w:pPr>
        <w:pStyle w:val="13"/>
        <w:numPr>
          <w:ilvl w:val="0"/>
          <w:numId w:val="1"/>
        </w:numPr>
        <w:ind w:firstLineChars="0"/>
        <w:rPr>
          <w:rFonts w:hint="eastAsia" w:cs="黑体" w:asciiTheme="minorEastAsia" w:hAnsiTheme="minorEastAsia" w:eastAsiaTheme="minorEastAsia"/>
          <w:b/>
          <w:sz w:val="32"/>
          <w:szCs w:val="32"/>
        </w:rPr>
      </w:pPr>
      <w:r>
        <w:rPr>
          <w:rFonts w:hint="eastAsia" w:cs="黑体" w:asciiTheme="minorEastAsia" w:hAnsiTheme="minorEastAsia" w:eastAsiaTheme="minorEastAsia"/>
          <w:b/>
          <w:sz w:val="32"/>
          <w:szCs w:val="32"/>
        </w:rPr>
        <w:t>简介</w:t>
      </w:r>
    </w:p>
    <w:p>
      <w:pPr>
        <w:ind w:firstLine="640" w:firstLineChars="200"/>
        <w:rPr>
          <w:rFonts w:cs="仿宋" w:asciiTheme="minorEastAsia" w:hAnsiTheme="minorEastAsia" w:eastAsiaTheme="minorEastAsia"/>
          <w:sz w:val="32"/>
          <w:szCs w:val="32"/>
        </w:rPr>
      </w:pPr>
      <w:bookmarkStart w:id="0" w:name="_Hlk513713407"/>
      <w:r>
        <w:rPr>
          <w:rFonts w:hint="eastAsia" w:cs="仿宋" w:asciiTheme="minorEastAsia" w:hAnsiTheme="minorEastAsia" w:eastAsiaTheme="minorEastAsia"/>
          <w:sz w:val="32"/>
          <w:szCs w:val="32"/>
        </w:rPr>
        <w:t>美容产业分会</w:t>
      </w:r>
      <w:bookmarkEnd w:id="0"/>
      <w:r>
        <w:rPr>
          <w:rFonts w:hint="eastAsia" w:cs="仿宋" w:asciiTheme="minorEastAsia" w:hAnsiTheme="minorEastAsia" w:eastAsiaTheme="minorEastAsia"/>
          <w:sz w:val="32"/>
          <w:szCs w:val="32"/>
        </w:rPr>
        <w:t>是全国卫生产业企业管理协会主管的二级分支机构。由生活美容机构、医疗美容机构、及健康产业的企业团体和专业人士自愿组成的全国性非营利性的行业组织。是其“交流、促进、融合、发展、实现共赢”的桥梁和纽带。</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美容产业分会将认真贯彻执行党和国家有关美容产业与健康中国的路线方针政策，紧紧依靠生活美容和医疗美容科学技术和专家群体，坚持为政府决策提供可借鉴的信息数据，坚持为生活美容和医疗美容企业服务，坚持为大众追求美好生活服务，为美丽中国做出应有的贡献。</w:t>
      </w:r>
    </w:p>
    <w:p>
      <w:pPr>
        <w:pStyle w:val="13"/>
        <w:ind w:left="1280" w:firstLine="0" w:firstLineChars="0"/>
        <w:rPr>
          <w:rFonts w:cs="宋体" w:asciiTheme="minorEastAsia" w:hAnsiTheme="minorEastAsia" w:eastAsiaTheme="minorEastAsia"/>
          <w:bCs/>
          <w:sz w:val="32"/>
          <w:szCs w:val="32"/>
        </w:rPr>
      </w:pPr>
    </w:p>
    <w:p>
      <w:pPr>
        <w:pStyle w:val="13"/>
        <w:numPr>
          <w:ilvl w:val="0"/>
          <w:numId w:val="2"/>
        </w:numPr>
        <w:ind w:firstLineChars="0"/>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业务范围</w:t>
      </w:r>
    </w:p>
    <w:p>
      <w:pPr>
        <w:pStyle w:val="13"/>
        <w:numPr>
          <w:ilvl w:val="1"/>
          <w:numId w:val="2"/>
        </w:numPr>
        <w:ind w:firstLineChars="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在国家卫生健康委员会和</w:t>
      </w:r>
      <w:r>
        <w:rPr>
          <w:rFonts w:hint="eastAsia" w:cs="仿宋" w:asciiTheme="minorEastAsia" w:hAnsiTheme="minorEastAsia" w:eastAsiaTheme="minorEastAsia"/>
          <w:color w:val="000000" w:themeColor="text1"/>
          <w:sz w:val="32"/>
          <w:szCs w:val="32"/>
          <w14:textFill>
            <w14:solidFill>
              <w14:schemeClr w14:val="tx1"/>
            </w14:solidFill>
          </w14:textFill>
        </w:rPr>
        <w:t>全国卫生产业企业管理协会</w:t>
      </w:r>
      <w:r>
        <w:rPr>
          <w:rFonts w:hint="eastAsia" w:cs="宋体" w:asciiTheme="minorEastAsia" w:hAnsiTheme="minorEastAsia" w:eastAsiaTheme="minorEastAsia"/>
          <w:sz w:val="28"/>
          <w:szCs w:val="28"/>
        </w:rPr>
        <w:t>的指导下，参与美业方针政策、法规制订的调研，引领行业发展；</w:t>
      </w:r>
    </w:p>
    <w:p>
      <w:pPr>
        <w:pStyle w:val="13"/>
        <w:numPr>
          <w:ilvl w:val="1"/>
          <w:numId w:val="2"/>
        </w:numPr>
        <w:ind w:firstLineChars="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受协会委托，制订行业标准，组织美业企业开展行业信用等级评价，加强行业自律；</w:t>
      </w:r>
    </w:p>
    <w:p>
      <w:pPr>
        <w:pStyle w:val="13"/>
        <w:numPr>
          <w:ilvl w:val="1"/>
          <w:numId w:val="2"/>
        </w:numPr>
        <w:ind w:firstLineChars="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加强专家体系建设，专业学组建设，推动行业发展；</w:t>
      </w:r>
    </w:p>
    <w:p>
      <w:pPr>
        <w:pStyle w:val="13"/>
        <w:numPr>
          <w:ilvl w:val="1"/>
          <w:numId w:val="2"/>
        </w:numPr>
        <w:ind w:firstLineChars="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对美业企业进行协调管理和服务，开展行业、市场调研，推广优质产品和技术，促进科技成果转化；</w:t>
      </w:r>
    </w:p>
    <w:p>
      <w:pPr>
        <w:pStyle w:val="13"/>
        <w:numPr>
          <w:ilvl w:val="1"/>
          <w:numId w:val="2"/>
        </w:numPr>
        <w:ind w:firstLineChars="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开展国内外学术交流，举办展览、论坛；</w:t>
      </w:r>
    </w:p>
    <w:p>
      <w:pPr>
        <w:pStyle w:val="13"/>
        <w:numPr>
          <w:ilvl w:val="1"/>
          <w:numId w:val="2"/>
        </w:numPr>
        <w:ind w:firstLineChars="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为广大会员服务，反映会员诉求，维护会员合法权益，表彰美容产业企业先进单位和个人；</w:t>
      </w:r>
    </w:p>
    <w:p>
      <w:pPr>
        <w:pStyle w:val="13"/>
        <w:numPr>
          <w:ilvl w:val="1"/>
          <w:numId w:val="2"/>
        </w:numPr>
        <w:ind w:firstLineChars="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开展在职人员继续教育，培训企业管理人员和技术人员，提升行业素质；</w:t>
      </w:r>
    </w:p>
    <w:p>
      <w:pPr>
        <w:pStyle w:val="13"/>
        <w:numPr>
          <w:ilvl w:val="1"/>
          <w:numId w:val="2"/>
        </w:numPr>
        <w:ind w:firstLineChars="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搭建信息数据平台，服务行业管理，提供法律咨询服务；</w:t>
      </w:r>
    </w:p>
    <w:p>
      <w:pPr>
        <w:pStyle w:val="13"/>
        <w:numPr>
          <w:ilvl w:val="1"/>
          <w:numId w:val="2"/>
        </w:numPr>
        <w:ind w:firstLineChars="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编辑出版书刊；</w:t>
      </w:r>
    </w:p>
    <w:p>
      <w:pPr>
        <w:pStyle w:val="13"/>
        <w:numPr>
          <w:ilvl w:val="1"/>
          <w:numId w:val="2"/>
        </w:numPr>
        <w:ind w:firstLineChars="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承担政府委托的其它工作。</w:t>
      </w:r>
    </w:p>
    <w:p>
      <w:pPr>
        <w:ind w:firstLine="643" w:firstLineChars="200"/>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三、发展组织成员</w:t>
      </w:r>
    </w:p>
    <w:p>
      <w:pPr>
        <w:ind w:firstLine="643" w:firstLineChars="200"/>
        <w:rPr>
          <w:rFonts w:cs="楷体" w:asciiTheme="minorEastAsia" w:hAnsiTheme="minorEastAsia" w:eastAsiaTheme="minorEastAsia"/>
          <w:b/>
          <w:sz w:val="32"/>
          <w:szCs w:val="32"/>
        </w:rPr>
      </w:pPr>
      <w:r>
        <w:rPr>
          <w:rFonts w:hint="eastAsia" w:cs="楷体" w:asciiTheme="minorEastAsia" w:hAnsiTheme="minorEastAsia" w:eastAsiaTheme="minorEastAsia"/>
          <w:b/>
          <w:sz w:val="32"/>
          <w:szCs w:val="32"/>
        </w:rPr>
        <w:t>（一）会员单位入会条件</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1、从事美容生产、经营、科研、管理和服务等领域的机构；</w:t>
      </w:r>
    </w:p>
    <w:p>
      <w:pP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2、机构净资产达到人民币100万元以上；</w:t>
      </w:r>
    </w:p>
    <w:p>
      <w:pP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3、机构近三年内没有因严重违法、违规经营受到相关部门处罚；</w:t>
      </w:r>
    </w:p>
    <w:p>
      <w:pP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4、积极参加本会组织的活动。</w:t>
      </w:r>
    </w:p>
    <w:p>
      <w:pPr>
        <w:ind w:firstLine="643" w:firstLineChars="200"/>
        <w:rPr>
          <w:rFonts w:cs="楷体" w:asciiTheme="minorEastAsia" w:hAnsiTheme="minorEastAsia" w:eastAsiaTheme="minorEastAsia"/>
          <w:b/>
          <w:bCs/>
          <w:sz w:val="32"/>
          <w:szCs w:val="32"/>
        </w:rPr>
      </w:pPr>
      <w:r>
        <w:rPr>
          <w:rFonts w:hint="eastAsia" w:cs="楷体" w:asciiTheme="minorEastAsia" w:hAnsiTheme="minorEastAsia" w:eastAsiaTheme="minorEastAsia"/>
          <w:b/>
          <w:bCs/>
          <w:sz w:val="32"/>
          <w:szCs w:val="32"/>
        </w:rPr>
        <w:t>（二）会员单位办理入会流程</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1、仔细阅读全国卫生产业企业管理协会美容产业分会入会指南，并与本会取得联系，对入会事宜进行沟通。</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2、入会下载申请表。</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3、提交入会申请，加盖单位公章，并提供以下资料：</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（1）营业执照扫描件；</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（2）法人身份证扫描件（正反面）；</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（3）企业简介（用于企业宣传，请提供电子版）。</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4、经本会研究讨论通过，电话或邮件通知申请入会单位。</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5、申请入会单位收到通知后，将相应的会费在规定时间内汇入本会指定账号中。</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6、本会在收到会费后十个工作日内，向申请入会单位颁发铜牌及证书。</w:t>
      </w:r>
    </w:p>
    <w:p>
      <w:pPr>
        <w:ind w:firstLine="643" w:firstLineChars="200"/>
        <w:rPr>
          <w:rFonts w:cs="楷体" w:asciiTheme="minorEastAsia" w:hAnsiTheme="minorEastAsia" w:eastAsiaTheme="minorEastAsia"/>
          <w:b/>
          <w:bCs/>
          <w:sz w:val="32"/>
          <w:szCs w:val="32"/>
        </w:rPr>
      </w:pPr>
      <w:r>
        <w:rPr>
          <w:rFonts w:hint="eastAsia" w:cs="楷体" w:asciiTheme="minorEastAsia" w:hAnsiTheme="minorEastAsia" w:eastAsiaTheme="minorEastAsia"/>
          <w:b/>
          <w:bCs/>
          <w:sz w:val="32"/>
          <w:szCs w:val="32"/>
        </w:rPr>
        <w:t>（三）入会后享有的权利和义务</w:t>
      </w:r>
    </w:p>
    <w:p>
      <w:pPr>
        <w:ind w:firstLine="643" w:firstLineChars="200"/>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会员单位权利：</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1、具有选举权、被选举权和表决权：</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2、对本会工作有批评建议权和监督权；</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3、优先参加本会活动；</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4、优先获得本会服务；</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5、本会提供与其他理事沟通交流的机会；</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6、优先获得相关技术咨询服务，有优惠获得产品宣传服务的权利；</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7、入会自愿，退会自愿。</w:t>
      </w:r>
    </w:p>
    <w:p>
      <w:pPr>
        <w:ind w:firstLine="643" w:firstLineChars="200"/>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会员单位义务：</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1、遵守本会章程、政策和规章制度，执行本会决议；</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2、维护本会声誉和合法权益；</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3、按规定交纳会费；</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4、完成本会交办的工作；</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5、积极参加和支持本会组织的各项活动；</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6、按规定向本会提供有关资料；</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7、服从本会的监督与管理，接受本会的检查。</w:t>
      </w:r>
    </w:p>
    <w:p>
      <w:pPr>
        <w:ind w:firstLine="643" w:firstLineChars="200"/>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会员单位享有服务：</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1、授予会员单位证书及铜牌；</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2、在本会网站公布会员单位名称，刊登公司简介、主营业务并链接到企业网站；</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3、免费参加本会年会；</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4、优先参加本会北上广美博会组织的展览会、学术研讨会、培训会、专业论坛、品牌推广、新品发布等活动；</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5、优先享有本会提供的专业法律咨询服务。</w:t>
      </w:r>
    </w:p>
    <w:p>
      <w:pPr>
        <w:ind w:firstLine="643" w:firstLineChars="200"/>
        <w:rPr>
          <w:rFonts w:cs="楷体" w:asciiTheme="minorEastAsia" w:hAnsiTheme="minorEastAsia" w:eastAsiaTheme="minorEastAsia"/>
          <w:b/>
          <w:bCs/>
          <w:sz w:val="32"/>
          <w:szCs w:val="32"/>
        </w:rPr>
      </w:pPr>
      <w:r>
        <w:rPr>
          <w:rFonts w:hint="eastAsia" w:cs="楷体" w:asciiTheme="minorEastAsia" w:hAnsiTheme="minorEastAsia" w:eastAsiaTheme="minorEastAsia"/>
          <w:b/>
          <w:bCs/>
          <w:sz w:val="32"/>
          <w:szCs w:val="32"/>
        </w:rPr>
        <w:t>（四）会费收费标准：</w:t>
      </w:r>
    </w:p>
    <w:p>
      <w:pPr>
        <w:ind w:firstLine="960" w:firstLineChars="3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联盟成员理事单位：3000元/5年</w:t>
      </w:r>
    </w:p>
    <w:p>
      <w:pPr>
        <w:ind w:firstLine="643" w:firstLineChars="200"/>
        <w:rPr>
          <w:rFonts w:cs="楷体" w:asciiTheme="minorEastAsia" w:hAnsiTheme="minorEastAsia" w:eastAsiaTheme="minorEastAsia"/>
          <w:b/>
          <w:bCs/>
          <w:sz w:val="32"/>
          <w:szCs w:val="32"/>
        </w:rPr>
      </w:pPr>
      <w:r>
        <w:rPr>
          <w:rFonts w:hint="eastAsia" w:cs="楷体" w:asciiTheme="minorEastAsia" w:hAnsiTheme="minorEastAsia" w:eastAsiaTheme="minorEastAsia"/>
          <w:b/>
          <w:bCs/>
          <w:sz w:val="32"/>
          <w:szCs w:val="32"/>
        </w:rPr>
        <w:t>（五）其他事项</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1、会员单位、地址、电话等变动时，请及时函告本会，以便保持联络；</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2、会员单位如果不按规定交纳会费，视为自动退会；</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3、会员单位如有触犯法律或严重违反本会章程的，经理事会或常务理事会批准，取消资格；</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4、会员单位退会应书面通知本会，并交回会员单位证书及铜牌；</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5、本办法的解释权属全国卫生产业企业管理协会美容产业分会秘书处。</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6、秘书处联系方式：</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地址：北京市昌平区黄平路19号泰华龙旗广场D座1311</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邮编：102208          邮箱：mrnahiem@126.com</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电话：010-88571653转8005</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联系人：</w:t>
      </w:r>
      <w:r>
        <w:rPr>
          <w:rFonts w:hint="eastAsia" w:cs="仿宋" w:asciiTheme="minorEastAsia" w:hAnsiTheme="minorEastAsia" w:eastAsiaTheme="minorEastAsia"/>
          <w:sz w:val="32"/>
          <w:szCs w:val="32"/>
          <w:lang w:val="en-US" w:eastAsia="zh-CN"/>
        </w:rPr>
        <w:t>季</w:t>
      </w:r>
      <w:r>
        <w:rPr>
          <w:rFonts w:hint="eastAsia" w:cs="仿宋" w:asciiTheme="minorEastAsia" w:hAnsiTheme="minorEastAsia" w:eastAsiaTheme="minorEastAsia"/>
          <w:sz w:val="32"/>
          <w:szCs w:val="32"/>
        </w:rPr>
        <w:t>老师 18611040051</w:t>
      </w:r>
      <w:bookmarkStart w:id="1" w:name="_GoBack"/>
      <w:bookmarkEnd w:id="1"/>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1"/>
          <w:szCs w:val="21"/>
          <w:shd w:val="clear" w:color="auto" w:fill="FFFFFF"/>
        </w:rPr>
      </w:pPr>
    </w:p>
    <w:p>
      <w:pPr>
        <w:pStyle w:val="6"/>
        <w:widowControl/>
        <w:shd w:val="clear" w:color="auto" w:fill="FFFFFF"/>
        <w:spacing w:before="150" w:beforeAutospacing="0" w:after="0" w:afterAutospacing="0" w:line="450" w:lineRule="atLeast"/>
        <w:jc w:val="both"/>
        <w:rPr>
          <w:rFonts w:cs="微软雅黑" w:asciiTheme="minorEastAsia" w:hAnsiTheme="minorEastAsia" w:eastAsiaTheme="minorEastAsia"/>
          <w:sz w:val="21"/>
          <w:szCs w:val="21"/>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9235316"/>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anchor distT="0" distB="0" distL="114300" distR="114300" simplePos="0" relativeHeight="251659264" behindDoc="1" locked="0" layoutInCell="1" allowOverlap="1">
          <wp:simplePos x="0" y="0"/>
          <wp:positionH relativeFrom="column">
            <wp:posOffset>-1047115</wp:posOffset>
          </wp:positionH>
          <wp:positionV relativeFrom="paragraph">
            <wp:posOffset>-405130</wp:posOffset>
          </wp:positionV>
          <wp:extent cx="7385685" cy="10447020"/>
          <wp:effectExtent l="0" t="0" r="635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5577" cy="10447019"/>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70289"/>
    <w:multiLevelType w:val="multilevel"/>
    <w:tmpl w:val="12770289"/>
    <w:lvl w:ilvl="0" w:tentative="0">
      <w:start w:val="1"/>
      <w:numFmt w:val="japaneseCounting"/>
      <w:lvlText w:val="%1、"/>
      <w:lvlJc w:val="left"/>
      <w:pPr>
        <w:ind w:left="1280" w:hanging="720"/>
      </w:pPr>
      <w:rPr>
        <w:rFonts w:hint="default"/>
      </w:rPr>
    </w:lvl>
    <w:lvl w:ilvl="1" w:tentative="0">
      <w:start w:val="1"/>
      <w:numFmt w:val="decimal"/>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75DC41E7"/>
    <w:multiLevelType w:val="multilevel"/>
    <w:tmpl w:val="75DC41E7"/>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NotDisplayPageBoundaries w:val="1"/>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4MjQ4ZjNlNTI3MmIwNThjYzcyZDBmZTA4MTg0NTQifQ=="/>
  </w:docVars>
  <w:rsids>
    <w:rsidRoot w:val="487C55A5"/>
    <w:rsid w:val="000833EB"/>
    <w:rsid w:val="00107DC8"/>
    <w:rsid w:val="00140382"/>
    <w:rsid w:val="002F0D46"/>
    <w:rsid w:val="003350DD"/>
    <w:rsid w:val="003A6836"/>
    <w:rsid w:val="004154C8"/>
    <w:rsid w:val="004D50FB"/>
    <w:rsid w:val="004F0393"/>
    <w:rsid w:val="005733E5"/>
    <w:rsid w:val="0066031E"/>
    <w:rsid w:val="00755B03"/>
    <w:rsid w:val="0083605D"/>
    <w:rsid w:val="00860A9F"/>
    <w:rsid w:val="00AA5E3F"/>
    <w:rsid w:val="00AA69CF"/>
    <w:rsid w:val="00B021FE"/>
    <w:rsid w:val="00B63227"/>
    <w:rsid w:val="00BF3735"/>
    <w:rsid w:val="00C56786"/>
    <w:rsid w:val="00C62118"/>
    <w:rsid w:val="00CD350B"/>
    <w:rsid w:val="00D427A3"/>
    <w:rsid w:val="00DB026B"/>
    <w:rsid w:val="00DC501A"/>
    <w:rsid w:val="00E83353"/>
    <w:rsid w:val="00F069E5"/>
    <w:rsid w:val="00F875AA"/>
    <w:rsid w:val="00F90BFE"/>
    <w:rsid w:val="00FE0ABA"/>
    <w:rsid w:val="2EBF4442"/>
    <w:rsid w:val="33A950EF"/>
    <w:rsid w:val="3E576CF0"/>
    <w:rsid w:val="43DA5C97"/>
    <w:rsid w:val="487C55A5"/>
    <w:rsid w:val="4E211D38"/>
    <w:rsid w:val="5D2E2A3B"/>
    <w:rsid w:val="60C7670A"/>
    <w:rsid w:val="77A1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2"/>
    <w:autoRedefine/>
    <w:qFormat/>
    <w:uiPriority w:val="99"/>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Subtitle"/>
    <w:basedOn w:val="1"/>
    <w:next w:val="1"/>
    <w:link w:val="11"/>
    <w:autoRedefine/>
    <w:qFormat/>
    <w:uiPriority w:val="0"/>
    <w:pPr>
      <w:spacing w:before="240" w:after="60" w:line="312" w:lineRule="auto"/>
      <w:jc w:val="center"/>
      <w:outlineLvl w:val="1"/>
    </w:pPr>
    <w:rPr>
      <w:rFonts w:ascii="Cambria" w:hAnsi="Cambria"/>
      <w:b/>
      <w:bCs/>
      <w:kern w:val="28"/>
      <w:sz w:val="32"/>
      <w:szCs w:val="32"/>
    </w:rPr>
  </w:style>
  <w:style w:type="paragraph" w:styleId="6">
    <w:name w:val="Normal (Web)"/>
    <w:basedOn w:val="1"/>
    <w:autoRedefine/>
    <w:qFormat/>
    <w:uiPriority w:val="0"/>
    <w:pPr>
      <w:spacing w:before="100" w:beforeAutospacing="1" w:after="100" w:afterAutospacing="1"/>
      <w:jc w:val="left"/>
    </w:pPr>
    <w:rPr>
      <w:kern w:val="0"/>
      <w:sz w:val="24"/>
    </w:rPr>
  </w:style>
  <w:style w:type="character" w:styleId="9">
    <w:name w:val="Emphasis"/>
    <w:basedOn w:val="8"/>
    <w:autoRedefine/>
    <w:qFormat/>
    <w:uiPriority w:val="0"/>
    <w:rPr>
      <w:i/>
      <w:iCs/>
    </w:rPr>
  </w:style>
  <w:style w:type="character" w:customStyle="1" w:styleId="10">
    <w:name w:val="标题 1 Char"/>
    <w:basedOn w:val="8"/>
    <w:link w:val="2"/>
    <w:autoRedefine/>
    <w:qFormat/>
    <w:uiPriority w:val="0"/>
    <w:rPr>
      <w:b/>
      <w:bCs/>
      <w:kern w:val="44"/>
      <w:sz w:val="44"/>
      <w:szCs w:val="44"/>
    </w:rPr>
  </w:style>
  <w:style w:type="character" w:customStyle="1" w:styleId="11">
    <w:name w:val="副标题 Char"/>
    <w:basedOn w:val="8"/>
    <w:link w:val="5"/>
    <w:autoRedefine/>
    <w:qFormat/>
    <w:uiPriority w:val="0"/>
    <w:rPr>
      <w:rFonts w:ascii="Cambria" w:hAnsi="Cambria" w:cs="Times New Roman"/>
      <w:b/>
      <w:bCs/>
      <w:kern w:val="28"/>
      <w:sz w:val="32"/>
      <w:szCs w:val="32"/>
    </w:rPr>
  </w:style>
  <w:style w:type="character" w:customStyle="1" w:styleId="12">
    <w:name w:val="页脚 Char"/>
    <w:basedOn w:val="8"/>
    <w:link w:val="3"/>
    <w:autoRedefine/>
    <w:qFormat/>
    <w:uiPriority w:val="99"/>
    <w:rPr>
      <w:kern w:val="2"/>
      <w:sz w:val="18"/>
      <w:szCs w:val="24"/>
    </w:rPr>
  </w:style>
  <w:style w:type="paragraph" w:styleId="13">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20339;&#32654;\&#26085;&#24120;\&#39029;&#30473;&#39029;&#33050;\&#39029;&#30473;&#39029;&#33050;&#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页眉页脚模板</Template>
  <Company>edianzu.com</Company>
  <Pages>6</Pages>
  <Words>264</Words>
  <Characters>1509</Characters>
  <Lines>12</Lines>
  <Paragraphs>3</Paragraphs>
  <TotalTime>0</TotalTime>
  <ScaleCrop>false</ScaleCrop>
  <LinksUpToDate>false</LinksUpToDate>
  <CharactersWithSpaces>1770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2018-08-14T03:25:00Z</dcterms:created>
  <dc:creator>Administrator</dc:creator>
  <cp:lastModifiedBy>贾丽丽</cp:lastModifiedBy>
  <dcterms:modified xsi:type="dcterms:W3CDTF">2024-04-17T03:48:46Z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F8A1DDAE766A424F92C7416329852866_12</vt:lpwstr>
  </property>
</Properties>
</file>